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BBB" w:rsidRDefault="00A727A1">
      <w:pPr>
        <w:spacing w:after="0"/>
        <w:jc w:val="right"/>
      </w:pPr>
      <w:r>
        <w:rPr>
          <w:rFonts w:ascii="Lato Black"/>
          <w:b/>
        </w:rPr>
        <w:t>MSBA Core Manual</w:t>
      </w:r>
    </w:p>
    <w:p w:rsidR="00317BBB" w:rsidRDefault="00A727A1">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317BBB">
        <w:tblPrEx>
          <w:tblCellMar>
            <w:bottom w:w="0" w:type="dxa"/>
          </w:tblCellMar>
        </w:tblPrEx>
        <w:tc>
          <w:tcPr>
            <w:tcW w:w="0" w:type="auto"/>
            <w:shd w:val="clear" w:color="auto" w:fill="EFEFEF"/>
          </w:tcPr>
          <w:p w:rsidR="00317BBB" w:rsidRDefault="00A727A1">
            <w:pPr>
              <w:spacing w:after="0"/>
            </w:pPr>
            <w:r>
              <w:rPr>
                <w:rFonts w:ascii="Lato Black"/>
                <w:b/>
              </w:rPr>
              <w:t>Policy BBF: SCHOOL BOARD MEMBER ETHICS</w:t>
            </w:r>
          </w:p>
        </w:tc>
        <w:tc>
          <w:tcPr>
            <w:tcW w:w="1000" w:type="pct"/>
            <w:shd w:val="clear" w:color="auto" w:fill="EFEFEF"/>
          </w:tcPr>
          <w:p w:rsidR="00317BBB" w:rsidRDefault="00A727A1">
            <w:r>
              <w:rPr>
                <w:rFonts w:ascii="Lato Black"/>
                <w:b/>
              </w:rPr>
              <w:t xml:space="preserve">Status: </w:t>
            </w:r>
            <w:r>
              <w:rPr>
                <w:rFonts w:ascii="Lato"/>
              </w:rPr>
              <w:t>ADOPTED</w:t>
            </w:r>
          </w:p>
        </w:tc>
      </w:tr>
      <w:tr w:rsidR="00317BBB">
        <w:tblPrEx>
          <w:tblCellMar>
            <w:bottom w:w="0" w:type="dxa"/>
          </w:tblCellMar>
        </w:tblPrEx>
        <w:tc>
          <w:tcPr>
            <w:tcW w:w="0" w:type="auto"/>
            <w:shd w:val="clear" w:color="auto" w:fill="EFEFEF"/>
          </w:tcPr>
          <w:p w:rsidR="00317BBB" w:rsidRDefault="00A727A1">
            <w:r>
              <w:rPr>
                <w:rFonts w:ascii="Lato Black"/>
                <w:b/>
                <w:sz w:val="18"/>
              </w:rPr>
              <w:t xml:space="preserve">Original Adopted Date: </w:t>
            </w:r>
            <w:r>
              <w:rPr>
                <w:rFonts w:ascii="Lato"/>
                <w:sz w:val="18"/>
              </w:rPr>
              <w:t>01/23/2020</w:t>
            </w:r>
            <w:r>
              <w:rPr>
                <w:rFonts w:ascii="Lato Black"/>
                <w:b/>
                <w:sz w:val="18"/>
              </w:rPr>
              <w:t xml:space="preserve"> | Last Revised Date: </w:t>
            </w:r>
            <w:r>
              <w:rPr>
                <w:rFonts w:ascii="Lato"/>
                <w:sz w:val="18"/>
              </w:rPr>
              <w:t>08/11/2023</w:t>
            </w:r>
            <w:r>
              <w:rPr>
                <w:rFonts w:ascii="Lato Black"/>
                <w:b/>
                <w:sz w:val="18"/>
              </w:rPr>
              <w:t xml:space="preserve"> | Last Reviewed Date: </w:t>
            </w:r>
            <w:r>
              <w:rPr>
                <w:rFonts w:ascii="Lato"/>
                <w:sz w:val="18"/>
              </w:rPr>
              <w:t>09/20</w:t>
            </w:r>
            <w:r>
              <w:rPr>
                <w:rFonts w:ascii="Lato"/>
                <w:sz w:val="18"/>
              </w:rPr>
              <w:t>/2023</w:t>
            </w:r>
            <w:bookmarkStart w:id="0" w:name="_GoBack"/>
            <w:bookmarkEnd w:id="0"/>
          </w:p>
        </w:tc>
        <w:tc>
          <w:tcPr>
            <w:tcW w:w="0" w:type="auto"/>
            <w:shd w:val="clear" w:color="auto" w:fill="EFEFEF"/>
          </w:tcPr>
          <w:p w:rsidR="00317BBB" w:rsidRDefault="00317BBB">
            <w:pPr>
              <w:spacing w:after="0"/>
            </w:pPr>
          </w:p>
        </w:tc>
      </w:tr>
    </w:tbl>
    <w:p w:rsidR="00317BBB" w:rsidRDefault="00317BBB">
      <w:pPr>
        <w:spacing w:after="30"/>
        <w:jc w:val="right"/>
      </w:pPr>
    </w:p>
    <w:p w:rsidR="00000000" w:rsidRDefault="00A727A1">
      <w:pPr>
        <w:pStyle w:val="NormalWeb"/>
        <w:divId w:val="1645937610"/>
        <w:rPr>
          <w:rFonts w:ascii="Lato" w:hAnsi="Lato"/>
          <w:sz w:val="22"/>
          <w:szCs w:val="22"/>
        </w:rPr>
      </w:pPr>
      <w:r>
        <w:rPr>
          <w:rFonts w:ascii="Lato" w:hAnsi="Lato"/>
          <w:sz w:val="22"/>
          <w:szCs w:val="22"/>
        </w:rPr>
        <w:t>Board members accept the fiduciary responsibilities of holding a public office for school district governance on behalf of district residents and in accordance with the laws of Missouri and the United States.</w:t>
      </w:r>
      <w:r>
        <w:rPr>
          <w:rFonts w:ascii="Lato" w:hAnsi="Lato"/>
          <w:sz w:val="22"/>
          <w:szCs w:val="22"/>
        </w:rPr>
        <w:br/>
      </w:r>
      <w:r>
        <w:rPr>
          <w:rFonts w:ascii="Lato" w:hAnsi="Lato"/>
          <w:sz w:val="22"/>
          <w:szCs w:val="22"/>
        </w:rPr>
        <w:br/>
      </w:r>
      <w:r>
        <w:rPr>
          <w:rFonts w:ascii="Lato" w:hAnsi="Lato"/>
          <w:sz w:val="22"/>
          <w:szCs w:val="22"/>
        </w:rPr>
        <w:t xml:space="preserve">The key principles to </w:t>
      </w:r>
      <w:proofErr w:type="gramStart"/>
      <w:r>
        <w:rPr>
          <w:rFonts w:ascii="Lato" w:hAnsi="Lato"/>
          <w:sz w:val="22"/>
          <w:szCs w:val="22"/>
        </w:rPr>
        <w:t>be observed</w:t>
      </w:r>
      <w:proofErr w:type="gramEnd"/>
      <w:r>
        <w:rPr>
          <w:rFonts w:ascii="Lato" w:hAnsi="Lato"/>
          <w:sz w:val="22"/>
          <w:szCs w:val="22"/>
        </w:rPr>
        <w:t xml:space="preserve"> in upholding these responsibilities are the duties of care, loyalty and public trust. </w:t>
      </w:r>
      <w:r>
        <w:rPr>
          <w:rFonts w:ascii="Lato" w:hAnsi="Lato"/>
          <w:sz w:val="22"/>
          <w:szCs w:val="22"/>
        </w:rPr>
        <w:br/>
      </w:r>
      <w:r>
        <w:rPr>
          <w:rFonts w:ascii="Lato" w:hAnsi="Lato"/>
          <w:sz w:val="22"/>
          <w:szCs w:val="22"/>
        </w:rPr>
        <w:br/>
      </w:r>
      <w:r>
        <w:rPr>
          <w:rStyle w:val="Emphasis"/>
          <w:rFonts w:ascii="Lato" w:hAnsi="Lato"/>
          <w:sz w:val="22"/>
          <w:szCs w:val="22"/>
        </w:rPr>
        <w:t>Duty of Care</w:t>
      </w:r>
      <w:r>
        <w:rPr>
          <w:rFonts w:ascii="Lato" w:hAnsi="Lato"/>
          <w:sz w:val="22"/>
          <w:szCs w:val="22"/>
        </w:rPr>
        <w:t xml:space="preserve"> – Board members will be attentive to the responsibilities of their office including, but not limited to, those set out by</w:t>
      </w:r>
      <w:r>
        <w:rPr>
          <w:rFonts w:ascii="Lato" w:hAnsi="Lato"/>
          <w:sz w:val="22"/>
          <w:szCs w:val="22"/>
        </w:rPr>
        <w:t xml:space="preserve"> law, board policy and board directive. They will act in good faith and in a reasonably prudent manner after due consideration of all provided information. Under the duty of care, board members will prepare for meetings by reading the provided information </w:t>
      </w:r>
      <w:r>
        <w:rPr>
          <w:rFonts w:ascii="Lato" w:hAnsi="Lato"/>
          <w:sz w:val="22"/>
          <w:szCs w:val="22"/>
        </w:rPr>
        <w:t>and contacting the superintendent for clarification. Board members will consider the ideas and opinions of administrators, advisors and other board members as well as any input received from district residents before casting a vote in meetings. Board membe</w:t>
      </w:r>
      <w:r>
        <w:rPr>
          <w:rFonts w:ascii="Lato" w:hAnsi="Lato"/>
          <w:sz w:val="22"/>
          <w:szCs w:val="22"/>
        </w:rPr>
        <w:t>rs will effectively manage district assets, ensure quality staffing and resources, monitor district processes and demonstrate accountability for decisions.</w:t>
      </w:r>
      <w:r>
        <w:rPr>
          <w:rFonts w:ascii="Lato" w:hAnsi="Lato"/>
          <w:sz w:val="22"/>
          <w:szCs w:val="22"/>
        </w:rPr>
        <w:br/>
      </w:r>
      <w:r>
        <w:rPr>
          <w:rFonts w:ascii="Lato" w:hAnsi="Lato"/>
          <w:sz w:val="22"/>
          <w:szCs w:val="22"/>
        </w:rPr>
        <w:br/>
      </w:r>
      <w:r>
        <w:rPr>
          <w:rStyle w:val="Emphasis"/>
          <w:rFonts w:ascii="Lato" w:hAnsi="Lato"/>
          <w:sz w:val="22"/>
          <w:szCs w:val="22"/>
        </w:rPr>
        <w:t>Duty of Loyalty</w:t>
      </w:r>
      <w:r>
        <w:rPr>
          <w:rFonts w:ascii="Lato" w:hAnsi="Lato"/>
          <w:sz w:val="22"/>
          <w:szCs w:val="22"/>
        </w:rPr>
        <w:t xml:space="preserve"> – Board members will place the interests of the district and its students before pe</w:t>
      </w:r>
      <w:r>
        <w:rPr>
          <w:rFonts w:ascii="Lato" w:hAnsi="Lato"/>
          <w:sz w:val="22"/>
          <w:szCs w:val="22"/>
        </w:rPr>
        <w:t>rsonal interests. In general, board members cannot use their positions of trust, confidence and inside knowledge to further their own personal interests or those of their family and friends. Board members will avoid nepotism and conflicts of interest and w</w:t>
      </w:r>
      <w:r>
        <w:rPr>
          <w:rFonts w:ascii="Lato" w:hAnsi="Lato"/>
          <w:sz w:val="22"/>
          <w:szCs w:val="22"/>
        </w:rPr>
        <w:t>ill take only those actions that will advance the district mission and vision. </w:t>
      </w:r>
      <w:r>
        <w:rPr>
          <w:rFonts w:ascii="Lato" w:hAnsi="Lato"/>
          <w:sz w:val="22"/>
          <w:szCs w:val="22"/>
        </w:rPr>
        <w:br/>
      </w:r>
      <w:r>
        <w:rPr>
          <w:rFonts w:ascii="Lato" w:hAnsi="Lato"/>
          <w:sz w:val="22"/>
          <w:szCs w:val="22"/>
        </w:rPr>
        <w:br/>
      </w:r>
      <w:r>
        <w:rPr>
          <w:rStyle w:val="Emphasis"/>
          <w:rFonts w:ascii="Lato" w:hAnsi="Lato"/>
          <w:sz w:val="22"/>
          <w:szCs w:val="22"/>
        </w:rPr>
        <w:t>Duty of Public Trust</w:t>
      </w:r>
      <w:r>
        <w:rPr>
          <w:rFonts w:ascii="Lato" w:hAnsi="Lato"/>
          <w:sz w:val="22"/>
          <w:szCs w:val="22"/>
        </w:rPr>
        <w:t xml:space="preserve"> – Board members will act in a manner that builds and maintains the community's confidence that the board is acting legally, ethically, responsibly, transp</w:t>
      </w:r>
      <w:r>
        <w:rPr>
          <w:rFonts w:ascii="Lato" w:hAnsi="Lato"/>
          <w:sz w:val="22"/>
          <w:szCs w:val="22"/>
        </w:rPr>
        <w:t>arently and in the best interest of the students and the taxpayers. Board members will avoid even the appearance of impropriety. The duty of public trust includes, but is not limited to, the obligation to follow the law, meaningfully engage the public, kee</w:t>
      </w:r>
      <w:r>
        <w:rPr>
          <w:rFonts w:ascii="Lato" w:hAnsi="Lato"/>
          <w:sz w:val="22"/>
          <w:szCs w:val="22"/>
        </w:rPr>
        <w:t>p the public informed of board decisions and admit and correct mistakes. Board members will interact professionally with other board members, the superintendent, district staff and stakeholders.</w:t>
      </w:r>
      <w:r>
        <w:rPr>
          <w:rFonts w:ascii="Lato" w:hAnsi="Lato"/>
          <w:sz w:val="22"/>
          <w:szCs w:val="22"/>
        </w:rPr>
        <w:br/>
      </w:r>
      <w:r>
        <w:rPr>
          <w:rFonts w:ascii="Lato" w:hAnsi="Lato"/>
          <w:sz w:val="22"/>
          <w:szCs w:val="22"/>
        </w:rPr>
        <w:br/>
        <w:t>No list can comprehensively capture all the decisions and ac</w:t>
      </w:r>
      <w:r>
        <w:rPr>
          <w:rFonts w:ascii="Lato" w:hAnsi="Lato"/>
          <w:sz w:val="22"/>
          <w:szCs w:val="22"/>
        </w:rPr>
        <w:t>tions required under the duties of care, loyalty and trust. However, a board member adhering to the requirements of the office will: </w:t>
      </w:r>
    </w:p>
    <w:p w:rsidR="00000000" w:rsidRDefault="00A727A1">
      <w:pPr>
        <w:numPr>
          <w:ilvl w:val="0"/>
          <w:numId w:val="1"/>
        </w:numPr>
        <w:spacing w:before="100" w:beforeAutospacing="1" w:after="100" w:afterAutospacing="1" w:line="240" w:lineRule="auto"/>
        <w:divId w:val="1645937610"/>
        <w:rPr>
          <w:rFonts w:ascii="Lato" w:eastAsia="Times New Roman" w:hAnsi="Lato"/>
        </w:rPr>
      </w:pPr>
      <w:r>
        <w:rPr>
          <w:rFonts w:ascii="Lato" w:eastAsia="Times New Roman" w:hAnsi="Lato"/>
        </w:rPr>
        <w:t>Remember that the first and greatest concern must be the educational welfare of the district's students.</w:t>
      </w:r>
      <w:r>
        <w:rPr>
          <w:rFonts w:ascii="Lato" w:eastAsia="Times New Roman" w:hAnsi="Lato"/>
        </w:rPr>
        <w:br/>
        <w:t> </w:t>
      </w:r>
    </w:p>
    <w:p w:rsidR="00000000" w:rsidRDefault="00A727A1">
      <w:pPr>
        <w:numPr>
          <w:ilvl w:val="0"/>
          <w:numId w:val="1"/>
        </w:numPr>
        <w:spacing w:before="100" w:beforeAutospacing="1" w:after="100" w:afterAutospacing="1" w:line="240" w:lineRule="auto"/>
        <w:divId w:val="1645937610"/>
        <w:rPr>
          <w:rFonts w:ascii="Lato" w:eastAsia="Times New Roman" w:hAnsi="Lato"/>
        </w:rPr>
      </w:pPr>
      <w:r>
        <w:rPr>
          <w:rFonts w:ascii="Lato" w:eastAsia="Times New Roman" w:hAnsi="Lato"/>
        </w:rPr>
        <w:t xml:space="preserve">Govern through </w:t>
      </w:r>
      <w:r>
        <w:rPr>
          <w:rFonts w:ascii="Lato" w:eastAsia="Times New Roman" w:hAnsi="Lato"/>
        </w:rPr>
        <w:t>board-adopted policies and follow board-adopted policies and directives.</w:t>
      </w:r>
      <w:r>
        <w:rPr>
          <w:rFonts w:ascii="Lato" w:eastAsia="Times New Roman" w:hAnsi="Lato"/>
        </w:rPr>
        <w:br/>
        <w:t> </w:t>
      </w:r>
    </w:p>
    <w:p w:rsidR="00000000" w:rsidRDefault="00A727A1">
      <w:pPr>
        <w:numPr>
          <w:ilvl w:val="0"/>
          <w:numId w:val="1"/>
        </w:numPr>
        <w:spacing w:before="100" w:beforeAutospacing="1" w:after="100" w:afterAutospacing="1" w:line="240" w:lineRule="auto"/>
        <w:divId w:val="1645937610"/>
        <w:rPr>
          <w:rFonts w:ascii="Lato" w:eastAsia="Times New Roman" w:hAnsi="Lato"/>
        </w:rPr>
      </w:pPr>
      <w:r>
        <w:rPr>
          <w:rFonts w:ascii="Lato" w:eastAsia="Times New Roman" w:hAnsi="Lato"/>
        </w:rPr>
        <w:t>Make every effort to attend all board meetings and arrive at meetings prepared to discuss the agenda items.</w:t>
      </w:r>
      <w:r>
        <w:rPr>
          <w:rFonts w:ascii="Lato" w:eastAsia="Times New Roman" w:hAnsi="Lato"/>
        </w:rPr>
        <w:br/>
        <w:t> </w:t>
      </w:r>
    </w:p>
    <w:p w:rsidR="00000000" w:rsidRDefault="00A727A1">
      <w:pPr>
        <w:numPr>
          <w:ilvl w:val="0"/>
          <w:numId w:val="1"/>
        </w:numPr>
        <w:spacing w:before="100" w:beforeAutospacing="1" w:after="100" w:afterAutospacing="1" w:line="240" w:lineRule="auto"/>
        <w:divId w:val="1645937610"/>
        <w:rPr>
          <w:rFonts w:ascii="Lato" w:eastAsia="Times New Roman" w:hAnsi="Lato"/>
        </w:rPr>
      </w:pPr>
      <w:r>
        <w:rPr>
          <w:rFonts w:ascii="Lato" w:eastAsia="Times New Roman" w:hAnsi="Lato"/>
        </w:rPr>
        <w:t>Avoid conflicts of interest or the appearance thereof and safeguard con</w:t>
      </w:r>
      <w:r>
        <w:rPr>
          <w:rFonts w:ascii="Lato" w:eastAsia="Times New Roman" w:hAnsi="Lato"/>
        </w:rPr>
        <w:t>fidential information.</w:t>
      </w:r>
      <w:r>
        <w:rPr>
          <w:rFonts w:ascii="Lato" w:eastAsia="Times New Roman" w:hAnsi="Lato"/>
        </w:rPr>
        <w:br/>
        <w:t> </w:t>
      </w:r>
    </w:p>
    <w:p w:rsidR="00000000" w:rsidRDefault="00A727A1">
      <w:pPr>
        <w:numPr>
          <w:ilvl w:val="0"/>
          <w:numId w:val="1"/>
        </w:numPr>
        <w:spacing w:before="100" w:beforeAutospacing="1" w:after="100" w:afterAutospacing="1" w:line="240" w:lineRule="auto"/>
        <w:divId w:val="1645937610"/>
        <w:rPr>
          <w:rFonts w:ascii="Lato" w:eastAsia="Times New Roman" w:hAnsi="Lato"/>
        </w:rPr>
      </w:pPr>
      <w:r>
        <w:rPr>
          <w:rFonts w:ascii="Lato" w:eastAsia="Times New Roman" w:hAnsi="Lato"/>
        </w:rPr>
        <w:t xml:space="preserve">Recognize that the board acts only as a formally convened body and that individual board members have </w:t>
      </w:r>
      <w:proofErr w:type="gramStart"/>
      <w:r>
        <w:rPr>
          <w:rFonts w:ascii="Lato" w:eastAsia="Times New Roman" w:hAnsi="Lato"/>
        </w:rPr>
        <w:t>no independent</w:t>
      </w:r>
      <w:proofErr w:type="gramEnd"/>
      <w:r>
        <w:rPr>
          <w:rFonts w:ascii="Lato" w:eastAsia="Times New Roman" w:hAnsi="Lato"/>
        </w:rPr>
        <w:t xml:space="preserve"> authority to speak or act on the board's behalf unless they are designated by the board to do so.</w:t>
      </w:r>
      <w:r>
        <w:rPr>
          <w:rFonts w:ascii="Lato" w:eastAsia="Times New Roman" w:hAnsi="Lato"/>
        </w:rPr>
        <w:br/>
        <w:t> </w:t>
      </w:r>
    </w:p>
    <w:p w:rsidR="00000000" w:rsidRDefault="00A727A1">
      <w:pPr>
        <w:numPr>
          <w:ilvl w:val="0"/>
          <w:numId w:val="1"/>
        </w:numPr>
        <w:spacing w:before="100" w:beforeAutospacing="1" w:after="100" w:afterAutospacing="1" w:line="240" w:lineRule="auto"/>
        <w:divId w:val="1645937610"/>
        <w:rPr>
          <w:rFonts w:ascii="Lato" w:eastAsia="Times New Roman" w:hAnsi="Lato"/>
        </w:rPr>
      </w:pPr>
      <w:r>
        <w:rPr>
          <w:rFonts w:ascii="Lato" w:eastAsia="Times New Roman" w:hAnsi="Lato"/>
        </w:rPr>
        <w:t>Delegate board</w:t>
      </w:r>
      <w:r>
        <w:rPr>
          <w:rFonts w:ascii="Lato" w:eastAsia="Times New Roman" w:hAnsi="Lato"/>
        </w:rPr>
        <w:t xml:space="preserve"> policy administration and school operations to a qualified superintendent and maintain a productive professional relationship with the superintendent and district staff.</w:t>
      </w:r>
      <w:r>
        <w:rPr>
          <w:rFonts w:ascii="Lato" w:eastAsia="Times New Roman" w:hAnsi="Lato"/>
        </w:rPr>
        <w:br/>
        <w:t> </w:t>
      </w:r>
    </w:p>
    <w:p w:rsidR="00000000" w:rsidRDefault="00A727A1">
      <w:pPr>
        <w:numPr>
          <w:ilvl w:val="0"/>
          <w:numId w:val="1"/>
        </w:numPr>
        <w:spacing w:before="100" w:beforeAutospacing="1" w:after="100" w:afterAutospacing="1" w:line="240" w:lineRule="auto"/>
        <w:divId w:val="1645937610"/>
        <w:rPr>
          <w:rFonts w:ascii="Lato" w:eastAsia="Times New Roman" w:hAnsi="Lato"/>
        </w:rPr>
      </w:pPr>
      <w:r>
        <w:rPr>
          <w:rFonts w:ascii="Lato" w:eastAsia="Times New Roman" w:hAnsi="Lato"/>
        </w:rPr>
        <w:lastRenderedPageBreak/>
        <w:t>Make employment decisions based on applicant qualifications and benefits to the dis</w:t>
      </w:r>
      <w:r>
        <w:rPr>
          <w:rFonts w:ascii="Lato" w:eastAsia="Times New Roman" w:hAnsi="Lato"/>
        </w:rPr>
        <w:t>trict rather than personal interest.</w:t>
      </w:r>
    </w:p>
    <w:p w:rsidR="00000000" w:rsidRDefault="00A727A1">
      <w:pPr>
        <w:pStyle w:val="NormalWeb"/>
        <w:divId w:val="1645937610"/>
        <w:rPr>
          <w:rFonts w:ascii="Lato" w:hAnsi="Lato"/>
          <w:sz w:val="22"/>
          <w:szCs w:val="22"/>
        </w:rPr>
      </w:pPr>
      <w:r>
        <w:rPr>
          <w:rFonts w:ascii="Lato" w:hAnsi="Lato"/>
          <w:sz w:val="17"/>
          <w:szCs w:val="17"/>
        </w:rPr>
        <w:t>© 2023, Missouri School Boards' Association</w:t>
      </w:r>
      <w:r>
        <w:rPr>
          <w:rFonts w:ascii="Lato" w:hAnsi="Lato"/>
          <w:sz w:val="17"/>
          <w:szCs w:val="17"/>
        </w:rPr>
        <w:br/>
        <w:t>Version BBF-C.1B (07/23)</w:t>
      </w:r>
    </w:p>
    <w:p w:rsidR="00317BBB" w:rsidRDefault="00317BBB">
      <w:pPr>
        <w:pBdr>
          <w:bottom w:val="single" w:sz="5" w:space="1" w:color="auto"/>
        </w:pBdr>
      </w:pPr>
    </w:p>
    <w:p w:rsidR="00000000" w:rsidRDefault="00A727A1">
      <w:pPr>
        <w:divId w:val="1630042506"/>
        <w:rPr>
          <w:rFonts w:ascii="Lato" w:eastAsia="Times New Roman" w:hAnsi="Lato"/>
        </w:rPr>
      </w:pPr>
      <w:r>
        <w:rPr>
          <w:rFonts w:ascii="Lato" w:eastAsia="Times New Roman" w:hAnsi="Lato"/>
        </w:rPr>
        <w:t> </w:t>
      </w:r>
    </w:p>
    <w:p w:rsidR="00000000" w:rsidRDefault="00A727A1">
      <w:pPr>
        <w:pStyle w:val="Heading2"/>
        <w:shd w:val="clear" w:color="auto" w:fill="FFFFFF"/>
        <w:spacing w:before="0" w:beforeAutospacing="0" w:after="0" w:afterAutospacing="0"/>
        <w:textAlignment w:val="baseline"/>
        <w:divId w:val="937449511"/>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A727A1">
      <w:pPr>
        <w:divId w:val="937449511"/>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 xml:space="preserve">These references </w:t>
      </w:r>
      <w:proofErr w:type="gramStart"/>
      <w:r>
        <w:rPr>
          <w:rFonts w:ascii="Lato" w:eastAsia="Times New Roman" w:hAnsi="Lato"/>
          <w:color w:val="000000"/>
          <w:sz w:val="20"/>
          <w:szCs w:val="20"/>
          <w:shd w:val="clear" w:color="auto" w:fill="FFFFFF"/>
        </w:rPr>
        <w:t>are not intended</w:t>
      </w:r>
      <w:proofErr w:type="gramEnd"/>
      <w:r>
        <w:rPr>
          <w:rFonts w:ascii="Lato" w:eastAsia="Times New Roman" w:hAnsi="Lato"/>
          <w:color w:val="000000"/>
          <w:sz w:val="20"/>
          <w:szCs w:val="20"/>
          <w:shd w:val="clear" w:color="auto" w:fill="FFFFFF"/>
        </w:rPr>
        <w:t xml:space="preserve"> to be part of the policy itself, nor do they indicate the basis or authority for the board to enact this policy. Instead, they </w:t>
      </w:r>
      <w:proofErr w:type="gramStart"/>
      <w:r>
        <w:rPr>
          <w:rFonts w:ascii="Lato" w:eastAsia="Times New Roman" w:hAnsi="Lato"/>
          <w:color w:val="000000"/>
          <w:sz w:val="20"/>
          <w:szCs w:val="20"/>
          <w:shd w:val="clear" w:color="auto" w:fill="FFFFFF"/>
        </w:rPr>
        <w:t>are provided</w:t>
      </w:r>
      <w:proofErr w:type="gramEnd"/>
      <w:r>
        <w:rPr>
          <w:rFonts w:ascii="Lato" w:eastAsia="Times New Roman" w:hAnsi="Lato"/>
          <w:color w:val="000000"/>
          <w:sz w:val="20"/>
          <w:szCs w:val="20"/>
          <w:shd w:val="clear" w:color="auto" w:fill="FFFFFF"/>
        </w:rPr>
        <w:t xml:space="preserve">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317BBB">
        <w:tblPrEx>
          <w:tblCellMar>
            <w:top w:w="0" w:type="dxa"/>
            <w:bottom w:w="0" w:type="dxa"/>
          </w:tblCellMar>
        </w:tblPrEx>
        <w:tc>
          <w:tcPr>
            <w:tcW w:w="4017" w:type="dxa"/>
          </w:tcPr>
          <w:p w:rsidR="00317BBB" w:rsidRDefault="00A727A1">
            <w:pPr>
              <w:spacing w:after="0"/>
            </w:pPr>
            <w:r>
              <w:rPr>
                <w:rFonts w:ascii="Lato Black"/>
                <w:b/>
              </w:rPr>
              <w:t>State</w:t>
            </w:r>
          </w:p>
        </w:tc>
        <w:tc>
          <w:tcPr>
            <w:tcW w:w="5961" w:type="dxa"/>
          </w:tcPr>
          <w:p w:rsidR="00317BBB" w:rsidRDefault="00A727A1">
            <w:pPr>
              <w:spacing w:after="0"/>
            </w:pPr>
            <w:r>
              <w:rPr>
                <w:rFonts w:ascii="Lato Black"/>
                <w:b/>
              </w:rPr>
              <w:t>Description</w:t>
            </w:r>
          </w:p>
        </w:tc>
      </w:tr>
      <w:tr w:rsidR="00317BBB">
        <w:tblPrEx>
          <w:tblCellMar>
            <w:top w:w="0" w:type="dxa"/>
            <w:bottom w:w="0" w:type="dxa"/>
          </w:tblCellMar>
        </w:tblPrEx>
        <w:tc>
          <w:tcPr>
            <w:tcW w:w="4017" w:type="dxa"/>
          </w:tcPr>
          <w:p w:rsidR="00317BBB" w:rsidRDefault="00A727A1">
            <w:pPr>
              <w:spacing w:after="0"/>
            </w:pPr>
            <w:r>
              <w:rPr>
                <w:rFonts w:ascii="Lato"/>
              </w:rPr>
              <w:t>§</w:t>
            </w:r>
            <w:r>
              <w:rPr>
                <w:rFonts w:ascii="Lato"/>
              </w:rPr>
              <w:t xml:space="preserve"> 162.031, </w:t>
            </w:r>
            <w:proofErr w:type="spellStart"/>
            <w:r>
              <w:rPr>
                <w:rFonts w:ascii="Lato"/>
              </w:rPr>
              <w:t>RSMo</w:t>
            </w:r>
            <w:proofErr w:type="spellEnd"/>
            <w:r>
              <w:rPr>
                <w:rFonts w:ascii="Lato"/>
              </w:rPr>
              <w:t>.</w:t>
            </w:r>
          </w:p>
        </w:tc>
        <w:tc>
          <w:tcPr>
            <w:tcW w:w="5961" w:type="dxa"/>
          </w:tcPr>
          <w:p w:rsidR="00317BBB" w:rsidRDefault="00A727A1">
            <w:hyperlink r:id="rId5" w:docLocation="https://revisor.mo.gov/main/Home.aspx">
              <w:r>
                <w:rPr>
                  <w:rFonts w:ascii="Lato"/>
                  <w:color w:val="0563C1" w:themeColor="hyperlink"/>
                  <w:u w:val="single"/>
                </w:rPr>
                <w:t>State Statute</w:t>
              </w:r>
            </w:hyperlink>
          </w:p>
        </w:tc>
      </w:tr>
      <w:tr w:rsidR="00317BBB">
        <w:tblPrEx>
          <w:tblCellMar>
            <w:top w:w="0" w:type="dxa"/>
            <w:bottom w:w="0" w:type="dxa"/>
          </w:tblCellMar>
        </w:tblPrEx>
        <w:tc>
          <w:tcPr>
            <w:tcW w:w="4017" w:type="dxa"/>
          </w:tcPr>
          <w:p w:rsidR="00317BBB" w:rsidRDefault="00A727A1">
            <w:pPr>
              <w:spacing w:after="0"/>
            </w:pPr>
            <w:r>
              <w:rPr>
                <w:rFonts w:ascii="Lato"/>
              </w:rPr>
              <w:t>§</w:t>
            </w:r>
            <w:r>
              <w:rPr>
                <w:rFonts w:ascii="Lato"/>
              </w:rPr>
              <w:t xml:space="preserve"> 162.091, </w:t>
            </w:r>
            <w:proofErr w:type="spellStart"/>
            <w:r>
              <w:rPr>
                <w:rFonts w:ascii="Lato"/>
              </w:rPr>
              <w:t>RSMo</w:t>
            </w:r>
            <w:proofErr w:type="spellEnd"/>
            <w:r>
              <w:rPr>
                <w:rFonts w:ascii="Lato"/>
              </w:rPr>
              <w:t>.</w:t>
            </w:r>
          </w:p>
        </w:tc>
        <w:tc>
          <w:tcPr>
            <w:tcW w:w="5961" w:type="dxa"/>
          </w:tcPr>
          <w:p w:rsidR="00317BBB" w:rsidRDefault="00A727A1">
            <w:hyperlink r:id="rId6" w:docLocation="https://revisor.mo.gov/main/Home.aspx">
              <w:r>
                <w:rPr>
                  <w:rFonts w:ascii="Lato"/>
                  <w:color w:val="0563C1" w:themeColor="hyperlink"/>
                  <w:u w:val="single"/>
                </w:rPr>
                <w:t>State Statute</w:t>
              </w:r>
            </w:hyperlink>
          </w:p>
        </w:tc>
      </w:tr>
      <w:tr w:rsidR="00317BBB">
        <w:tblPrEx>
          <w:tblCellMar>
            <w:top w:w="0" w:type="dxa"/>
            <w:bottom w:w="0" w:type="dxa"/>
          </w:tblCellMar>
        </w:tblPrEx>
        <w:tc>
          <w:tcPr>
            <w:tcW w:w="4017" w:type="dxa"/>
          </w:tcPr>
          <w:p w:rsidR="00317BBB" w:rsidRDefault="00A727A1">
            <w:pPr>
              <w:spacing w:after="0"/>
            </w:pPr>
            <w:r>
              <w:rPr>
                <w:rFonts w:ascii="Lato"/>
              </w:rPr>
              <w:t>§§</w:t>
            </w:r>
            <w:r>
              <w:rPr>
                <w:rFonts w:ascii="Lato"/>
              </w:rPr>
              <w:t xml:space="preserve"> 105.450-</w:t>
            </w:r>
            <w:r>
              <w:rPr>
                <w:rFonts w:ascii="Lato"/>
              </w:rPr>
              <w:t xml:space="preserve">.452, .454, .458, .462, </w:t>
            </w:r>
            <w:proofErr w:type="spellStart"/>
            <w:r>
              <w:rPr>
                <w:rFonts w:ascii="Lato"/>
              </w:rPr>
              <w:t>RSMo</w:t>
            </w:r>
            <w:proofErr w:type="spellEnd"/>
            <w:r>
              <w:rPr>
                <w:rFonts w:ascii="Lato"/>
              </w:rPr>
              <w:t>.</w:t>
            </w:r>
          </w:p>
        </w:tc>
        <w:tc>
          <w:tcPr>
            <w:tcW w:w="5961" w:type="dxa"/>
          </w:tcPr>
          <w:p w:rsidR="00317BBB" w:rsidRDefault="00A727A1">
            <w:hyperlink r:id="rId7" w:docLocation="https://revisor.mo.gov/main/Home.aspx">
              <w:r>
                <w:rPr>
                  <w:rFonts w:ascii="Lato"/>
                  <w:color w:val="0563C1" w:themeColor="hyperlink"/>
                  <w:u w:val="single"/>
                </w:rPr>
                <w:t>State Statute</w:t>
              </w:r>
            </w:hyperlink>
          </w:p>
        </w:tc>
      </w:tr>
      <w:tr w:rsidR="00317BBB">
        <w:tblPrEx>
          <w:tblCellMar>
            <w:top w:w="0" w:type="dxa"/>
            <w:bottom w:w="0" w:type="dxa"/>
          </w:tblCellMar>
        </w:tblPrEx>
        <w:tc>
          <w:tcPr>
            <w:tcW w:w="4017" w:type="dxa"/>
          </w:tcPr>
          <w:p w:rsidR="00317BBB" w:rsidRDefault="00A727A1">
            <w:pPr>
              <w:spacing w:after="0"/>
            </w:pPr>
            <w:r>
              <w:rPr>
                <w:rFonts w:ascii="Lato"/>
              </w:rPr>
              <w:t>§§</w:t>
            </w:r>
            <w:r>
              <w:rPr>
                <w:rFonts w:ascii="Lato"/>
              </w:rPr>
              <w:t xml:space="preserve"> 162.261, .471 </w:t>
            </w:r>
            <w:proofErr w:type="spellStart"/>
            <w:r>
              <w:rPr>
                <w:rFonts w:ascii="Lato"/>
              </w:rPr>
              <w:t>RSMo</w:t>
            </w:r>
            <w:proofErr w:type="spellEnd"/>
            <w:r>
              <w:rPr>
                <w:rFonts w:ascii="Lato"/>
              </w:rPr>
              <w:t>.</w:t>
            </w:r>
          </w:p>
        </w:tc>
        <w:tc>
          <w:tcPr>
            <w:tcW w:w="5961" w:type="dxa"/>
          </w:tcPr>
          <w:p w:rsidR="00317BBB" w:rsidRDefault="00A727A1">
            <w:hyperlink r:id="rId8" w:docLocation="https://revisor.mo.gov/main/Home.aspx">
              <w:r>
                <w:rPr>
                  <w:rFonts w:ascii="Lato"/>
                  <w:color w:val="0563C1" w:themeColor="hyperlink"/>
                  <w:u w:val="single"/>
                </w:rPr>
                <w:t>State Statute</w:t>
              </w:r>
            </w:hyperlink>
          </w:p>
        </w:tc>
      </w:tr>
      <w:tr w:rsidR="00317BBB">
        <w:tblPrEx>
          <w:tblCellMar>
            <w:top w:w="0" w:type="dxa"/>
            <w:bottom w:w="0" w:type="dxa"/>
          </w:tblCellMar>
        </w:tblPrEx>
        <w:tc>
          <w:tcPr>
            <w:tcW w:w="4017" w:type="dxa"/>
          </w:tcPr>
          <w:p w:rsidR="00317BBB" w:rsidRDefault="00A727A1">
            <w:pPr>
              <w:spacing w:after="0"/>
            </w:pPr>
            <w:r>
              <w:rPr>
                <w:rFonts w:ascii="Lato"/>
              </w:rPr>
              <w:t>§§</w:t>
            </w:r>
            <w:r>
              <w:rPr>
                <w:rFonts w:ascii="Lato"/>
              </w:rPr>
              <w:t xml:space="preserve"> 531.010 </w:t>
            </w:r>
            <w:r>
              <w:rPr>
                <w:rFonts w:ascii="Lato"/>
              </w:rPr>
              <w:t>–</w:t>
            </w:r>
            <w:r>
              <w:rPr>
                <w:rFonts w:ascii="Lato"/>
              </w:rPr>
              <w:t xml:space="preserve"> .060, </w:t>
            </w:r>
            <w:proofErr w:type="spellStart"/>
            <w:r>
              <w:rPr>
                <w:rFonts w:ascii="Lato"/>
              </w:rPr>
              <w:t>RSMo</w:t>
            </w:r>
            <w:proofErr w:type="spellEnd"/>
            <w:r>
              <w:rPr>
                <w:rFonts w:ascii="Lato"/>
              </w:rPr>
              <w:t>.</w:t>
            </w:r>
          </w:p>
        </w:tc>
        <w:tc>
          <w:tcPr>
            <w:tcW w:w="5961" w:type="dxa"/>
          </w:tcPr>
          <w:p w:rsidR="00317BBB" w:rsidRDefault="00A727A1">
            <w:hyperlink r:id="rId9" w:docLocation="https://revisor.mo.gov/main/Home.aspx">
              <w:r>
                <w:rPr>
                  <w:rFonts w:ascii="Lato"/>
                  <w:color w:val="0563C1" w:themeColor="hyperlink"/>
                  <w:u w:val="single"/>
                </w:rPr>
                <w:t>State Statute</w:t>
              </w:r>
            </w:hyperlink>
          </w:p>
        </w:tc>
      </w:tr>
      <w:tr w:rsidR="00317BBB">
        <w:tblPrEx>
          <w:tblCellMar>
            <w:top w:w="0" w:type="dxa"/>
            <w:bottom w:w="0" w:type="dxa"/>
          </w:tblCellMar>
        </w:tblPrEx>
        <w:tc>
          <w:tcPr>
            <w:tcW w:w="4017" w:type="dxa"/>
          </w:tcPr>
          <w:p w:rsidR="00317BBB" w:rsidRDefault="00A727A1">
            <w:pPr>
              <w:spacing w:after="0"/>
            </w:pPr>
            <w:r>
              <w:rPr>
                <w:rFonts w:ascii="Lato"/>
              </w:rPr>
              <w:t>MO COURT</w:t>
            </w:r>
          </w:p>
        </w:tc>
        <w:tc>
          <w:tcPr>
            <w:tcW w:w="5961" w:type="dxa"/>
          </w:tcPr>
          <w:p w:rsidR="00317BBB" w:rsidRDefault="00A727A1">
            <w:hyperlink r:id="rId10" w:docLocation="https://www.courts.mo.gov/">
              <w:r>
                <w:rPr>
                  <w:rFonts w:ascii="Lato"/>
                  <w:color w:val="0563C1" w:themeColor="hyperlink"/>
                  <w:u w:val="single"/>
                </w:rPr>
                <w:t>Bd</w:t>
              </w:r>
              <w:r>
                <w:rPr>
                  <w:rFonts w:ascii="Lato"/>
                  <w:color w:val="0563C1" w:themeColor="hyperlink"/>
                  <w:u w:val="single"/>
                </w:rPr>
                <w:t>. of Educ. v. Tiedemann, 69 Mo. 515, 518 (1879)</w:t>
              </w:r>
            </w:hyperlink>
          </w:p>
        </w:tc>
      </w:tr>
      <w:tr w:rsidR="00317BBB">
        <w:tblPrEx>
          <w:tblCellMar>
            <w:top w:w="0" w:type="dxa"/>
            <w:bottom w:w="0" w:type="dxa"/>
          </w:tblCellMar>
        </w:tblPrEx>
        <w:tc>
          <w:tcPr>
            <w:tcW w:w="4017" w:type="dxa"/>
          </w:tcPr>
          <w:p w:rsidR="00317BBB" w:rsidRDefault="00A727A1">
            <w:pPr>
              <w:spacing w:after="0"/>
            </w:pPr>
            <w:r>
              <w:rPr>
                <w:rFonts w:ascii="Lato"/>
              </w:rPr>
              <w:t>MO COURT</w:t>
            </w:r>
          </w:p>
        </w:tc>
        <w:tc>
          <w:tcPr>
            <w:tcW w:w="5961" w:type="dxa"/>
          </w:tcPr>
          <w:p w:rsidR="00317BBB" w:rsidRDefault="00A727A1">
            <w:hyperlink r:id="rId11" w:docLocation="https://www.courts.mo.gov/">
              <w:r>
                <w:rPr>
                  <w:rFonts w:ascii="Lato"/>
                  <w:color w:val="0563C1" w:themeColor="hyperlink"/>
                  <w:u w:val="single"/>
                </w:rPr>
                <w:t>Bank of Belton v. Wray, 55 Mo. App. 646 (1894)</w:t>
              </w:r>
            </w:hyperlink>
          </w:p>
        </w:tc>
      </w:tr>
      <w:tr w:rsidR="00317BBB">
        <w:tblPrEx>
          <w:tblCellMar>
            <w:top w:w="0" w:type="dxa"/>
            <w:bottom w:w="0" w:type="dxa"/>
          </w:tblCellMar>
        </w:tblPrEx>
        <w:tc>
          <w:tcPr>
            <w:tcW w:w="4017" w:type="dxa"/>
          </w:tcPr>
          <w:p w:rsidR="00317BBB" w:rsidRDefault="00A727A1">
            <w:pPr>
              <w:spacing w:after="0"/>
            </w:pPr>
            <w:r>
              <w:rPr>
                <w:rFonts w:ascii="Lato"/>
              </w:rPr>
              <w:t>MO COURT</w:t>
            </w:r>
          </w:p>
        </w:tc>
        <w:tc>
          <w:tcPr>
            <w:tcW w:w="5961" w:type="dxa"/>
          </w:tcPr>
          <w:p w:rsidR="00317BBB" w:rsidRDefault="00A727A1">
            <w:hyperlink r:id="rId12" w:docLocation="https://www.courts.mo.gov/">
              <w:r>
                <w:rPr>
                  <w:rFonts w:ascii="Lato"/>
                  <w:color w:val="0563C1" w:themeColor="hyperlink"/>
                  <w:u w:val="single"/>
                </w:rPr>
                <w:t xml:space="preserve">Consol. Sch. Dist. No. 6 v. </w:t>
              </w:r>
              <w:proofErr w:type="spellStart"/>
              <w:r>
                <w:rPr>
                  <w:rFonts w:ascii="Lato"/>
                  <w:color w:val="0563C1" w:themeColor="hyperlink"/>
                  <w:u w:val="single"/>
                </w:rPr>
                <w:t>Shawhan</w:t>
              </w:r>
              <w:proofErr w:type="spellEnd"/>
              <w:r>
                <w:rPr>
                  <w:rFonts w:ascii="Lato"/>
                  <w:color w:val="0563C1" w:themeColor="hyperlink"/>
                  <w:u w:val="single"/>
                </w:rPr>
                <w:t>, 273 S.W. 182 (Mo. Ct. App. 1925)</w:t>
              </w:r>
            </w:hyperlink>
          </w:p>
        </w:tc>
      </w:tr>
      <w:tr w:rsidR="00317BBB">
        <w:tblPrEx>
          <w:tblCellMar>
            <w:top w:w="0" w:type="dxa"/>
            <w:bottom w:w="0" w:type="dxa"/>
          </w:tblCellMar>
        </w:tblPrEx>
        <w:tc>
          <w:tcPr>
            <w:tcW w:w="4017" w:type="dxa"/>
          </w:tcPr>
          <w:p w:rsidR="00317BBB" w:rsidRDefault="00A727A1">
            <w:pPr>
              <w:spacing w:after="0"/>
            </w:pPr>
            <w:r>
              <w:rPr>
                <w:rFonts w:ascii="Lato"/>
              </w:rPr>
              <w:t>MO COURT</w:t>
            </w:r>
          </w:p>
        </w:tc>
        <w:tc>
          <w:tcPr>
            <w:tcW w:w="5961" w:type="dxa"/>
          </w:tcPr>
          <w:p w:rsidR="00317BBB" w:rsidRDefault="00A727A1">
            <w:hyperlink r:id="rId13" w:docLocation="https://www.courts.mo.gov/">
              <w:proofErr w:type="spellStart"/>
              <w:r>
                <w:rPr>
                  <w:rFonts w:ascii="Lato"/>
                  <w:color w:val="0563C1" w:themeColor="hyperlink"/>
                  <w:u w:val="single"/>
                </w:rPr>
                <w:t>Bonsack</w:t>
              </w:r>
              <w:proofErr w:type="spellEnd"/>
              <w:r>
                <w:rPr>
                  <w:rFonts w:ascii="Lato"/>
                  <w:color w:val="0563C1" w:themeColor="hyperlink"/>
                  <w:u w:val="single"/>
                </w:rPr>
                <w:t xml:space="preserve"> &amp; Pearce, Inc.</w:t>
              </w:r>
              <w:r>
                <w:rPr>
                  <w:rFonts w:ascii="Lato"/>
                  <w:color w:val="0563C1" w:themeColor="hyperlink"/>
                  <w:u w:val="single"/>
                </w:rPr>
                <w:t xml:space="preserve"> v. School Dist., 49 S.W.2d 1085 (Mo. 1932)</w:t>
              </w:r>
            </w:hyperlink>
          </w:p>
        </w:tc>
      </w:tr>
      <w:tr w:rsidR="00317BBB">
        <w:tblPrEx>
          <w:tblCellMar>
            <w:top w:w="0" w:type="dxa"/>
            <w:bottom w:w="0" w:type="dxa"/>
          </w:tblCellMar>
        </w:tblPrEx>
        <w:tc>
          <w:tcPr>
            <w:tcW w:w="4017" w:type="dxa"/>
          </w:tcPr>
          <w:p w:rsidR="00317BBB" w:rsidRDefault="00A727A1">
            <w:pPr>
              <w:spacing w:after="0"/>
            </w:pPr>
            <w:r>
              <w:rPr>
                <w:rFonts w:ascii="Lato"/>
              </w:rPr>
              <w:t>MO COURT</w:t>
            </w:r>
          </w:p>
        </w:tc>
        <w:tc>
          <w:tcPr>
            <w:tcW w:w="5961" w:type="dxa"/>
          </w:tcPr>
          <w:p w:rsidR="00317BBB" w:rsidRDefault="00A727A1">
            <w:hyperlink r:id="rId14" w:docLocation="https://www.courts.mo.gov/">
              <w:proofErr w:type="spellStart"/>
              <w:r>
                <w:rPr>
                  <w:rFonts w:ascii="Lato"/>
                  <w:color w:val="0563C1" w:themeColor="hyperlink"/>
                  <w:u w:val="single"/>
                </w:rPr>
                <w:t>Brickey</w:t>
              </w:r>
              <w:proofErr w:type="spellEnd"/>
              <w:r>
                <w:rPr>
                  <w:rFonts w:ascii="Lato"/>
                  <w:color w:val="0563C1" w:themeColor="hyperlink"/>
                  <w:u w:val="single"/>
                </w:rPr>
                <w:t xml:space="preserve"> v. Nolte, 169 S.W.2d 50 (Mo. 1943)</w:t>
              </w:r>
            </w:hyperlink>
          </w:p>
        </w:tc>
      </w:tr>
      <w:tr w:rsidR="00317BBB">
        <w:tblPrEx>
          <w:tblCellMar>
            <w:top w:w="0" w:type="dxa"/>
            <w:bottom w:w="0" w:type="dxa"/>
          </w:tblCellMar>
        </w:tblPrEx>
        <w:tc>
          <w:tcPr>
            <w:tcW w:w="4017" w:type="dxa"/>
          </w:tcPr>
          <w:p w:rsidR="00317BBB" w:rsidRDefault="00A727A1">
            <w:pPr>
              <w:spacing w:after="0"/>
            </w:pPr>
            <w:r>
              <w:rPr>
                <w:rFonts w:ascii="Lato"/>
              </w:rPr>
              <w:t>MO COURT</w:t>
            </w:r>
          </w:p>
        </w:tc>
        <w:tc>
          <w:tcPr>
            <w:tcW w:w="5961" w:type="dxa"/>
          </w:tcPr>
          <w:p w:rsidR="00317BBB" w:rsidRDefault="00A727A1">
            <w:hyperlink r:id="rId15" w:docLocation="https://www.courts.mo.gov/">
              <w:r>
                <w:rPr>
                  <w:rFonts w:ascii="Lato"/>
                  <w:color w:val="0563C1" w:themeColor="hyperlink"/>
                  <w:u w:val="single"/>
                </w:rPr>
                <w:t>Consol. Sch. Dist. v. Powell, 221 S.W.2d 508 (Mo. 1949)</w:t>
              </w:r>
            </w:hyperlink>
          </w:p>
        </w:tc>
      </w:tr>
      <w:tr w:rsidR="00317BBB">
        <w:tblPrEx>
          <w:tblCellMar>
            <w:top w:w="0" w:type="dxa"/>
            <w:bottom w:w="0" w:type="dxa"/>
          </w:tblCellMar>
        </w:tblPrEx>
        <w:tc>
          <w:tcPr>
            <w:tcW w:w="4017" w:type="dxa"/>
          </w:tcPr>
          <w:p w:rsidR="00317BBB" w:rsidRDefault="00A727A1">
            <w:pPr>
              <w:spacing w:after="0"/>
            </w:pPr>
            <w:r>
              <w:rPr>
                <w:rFonts w:ascii="Lato"/>
              </w:rPr>
              <w:t>MO COURT</w:t>
            </w:r>
          </w:p>
        </w:tc>
        <w:tc>
          <w:tcPr>
            <w:tcW w:w="5961" w:type="dxa"/>
          </w:tcPr>
          <w:p w:rsidR="00317BBB" w:rsidRDefault="00A727A1">
            <w:hyperlink r:id="rId16" w:docLocation="https://www.courts.mo.gov/">
              <w:r>
                <w:rPr>
                  <w:rFonts w:ascii="Lato"/>
                  <w:color w:val="0563C1" w:themeColor="hyperlink"/>
                  <w:u w:val="single"/>
                </w:rPr>
                <w:t xml:space="preserve">St. Louis </w:t>
              </w:r>
              <w:proofErr w:type="spellStart"/>
              <w:r>
                <w:rPr>
                  <w:rFonts w:ascii="Lato"/>
                  <w:color w:val="0563C1" w:themeColor="hyperlink"/>
                  <w:u w:val="single"/>
                </w:rPr>
                <w:t>Cty</w:t>
              </w:r>
              <w:proofErr w:type="spellEnd"/>
              <w:r>
                <w:rPr>
                  <w:rFonts w:ascii="Lato"/>
                  <w:color w:val="0563C1" w:themeColor="hyperlink"/>
                  <w:u w:val="single"/>
                </w:rPr>
                <w:t xml:space="preserve">. v. Kelly, 377 S.W.2d </w:t>
              </w:r>
              <w:r>
                <w:rPr>
                  <w:rFonts w:ascii="Lato"/>
                  <w:color w:val="0563C1" w:themeColor="hyperlink"/>
                  <w:u w:val="single"/>
                </w:rPr>
                <w:t>328, 332 (Mo. 1964)</w:t>
              </w:r>
            </w:hyperlink>
          </w:p>
        </w:tc>
      </w:tr>
      <w:tr w:rsidR="00317BBB">
        <w:tblPrEx>
          <w:tblCellMar>
            <w:top w:w="0" w:type="dxa"/>
            <w:bottom w:w="0" w:type="dxa"/>
          </w:tblCellMar>
        </w:tblPrEx>
        <w:tc>
          <w:tcPr>
            <w:tcW w:w="4017" w:type="dxa"/>
          </w:tcPr>
          <w:p w:rsidR="00317BBB" w:rsidRDefault="00A727A1">
            <w:pPr>
              <w:spacing w:after="0"/>
            </w:pPr>
            <w:r>
              <w:rPr>
                <w:rFonts w:ascii="Lato"/>
              </w:rPr>
              <w:t xml:space="preserve">Mo. Const. </w:t>
            </w:r>
            <w:proofErr w:type="spellStart"/>
            <w:r>
              <w:rPr>
                <w:rFonts w:ascii="Lato"/>
              </w:rPr>
              <w:t>art.VII</w:t>
            </w:r>
            <w:proofErr w:type="spellEnd"/>
            <w:r>
              <w:rPr>
                <w:rFonts w:ascii="Lato"/>
              </w:rPr>
              <w:t xml:space="preserve"> </w:t>
            </w:r>
            <w:r>
              <w:rPr>
                <w:rFonts w:ascii="Lato"/>
              </w:rPr>
              <w:t>§</w:t>
            </w:r>
            <w:r>
              <w:rPr>
                <w:rFonts w:ascii="Lato"/>
              </w:rPr>
              <w:t xml:space="preserve"> 11</w:t>
            </w:r>
          </w:p>
        </w:tc>
        <w:tc>
          <w:tcPr>
            <w:tcW w:w="5961" w:type="dxa"/>
          </w:tcPr>
          <w:p w:rsidR="00317BBB" w:rsidRDefault="00A727A1">
            <w:hyperlink r:id="rId17" w:docLocation="https://revisor.mo.gov/main/Home.aspx">
              <w:r>
                <w:rPr>
                  <w:rFonts w:ascii="Lato"/>
                  <w:color w:val="0563C1" w:themeColor="hyperlink"/>
                  <w:u w:val="single"/>
                </w:rPr>
                <w:t>State Constitution</w:t>
              </w:r>
            </w:hyperlink>
          </w:p>
        </w:tc>
      </w:tr>
    </w:tbl>
    <w:p w:rsidR="00000000" w:rsidRDefault="00A727A1">
      <w:pPr>
        <w:shd w:val="clear" w:color="auto" w:fill="F9F9F9"/>
        <w:spacing w:line="480" w:lineRule="auto"/>
        <w:divId w:val="2007858158"/>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317BBB">
        <w:tblPrEx>
          <w:tblCellMar>
            <w:top w:w="0" w:type="dxa"/>
            <w:bottom w:w="0" w:type="dxa"/>
          </w:tblCellMar>
        </w:tblPrEx>
        <w:tc>
          <w:tcPr>
            <w:tcW w:w="4017" w:type="dxa"/>
          </w:tcPr>
          <w:p w:rsidR="00317BBB" w:rsidRDefault="00A727A1">
            <w:pPr>
              <w:spacing w:after="0"/>
            </w:pPr>
            <w:r>
              <w:rPr>
                <w:rFonts w:ascii="Lato Black"/>
                <w:b/>
              </w:rPr>
              <w:t>Code</w:t>
            </w:r>
          </w:p>
        </w:tc>
        <w:tc>
          <w:tcPr>
            <w:tcW w:w="5961" w:type="dxa"/>
          </w:tcPr>
          <w:p w:rsidR="00317BBB" w:rsidRDefault="00A727A1">
            <w:pPr>
              <w:spacing w:after="0"/>
            </w:pPr>
            <w:r>
              <w:rPr>
                <w:rFonts w:ascii="Lato Black"/>
                <w:b/>
              </w:rPr>
              <w:t>Description</w:t>
            </w:r>
          </w:p>
        </w:tc>
      </w:tr>
      <w:tr w:rsidR="00317BBB">
        <w:tblPrEx>
          <w:tblCellMar>
            <w:top w:w="0" w:type="dxa"/>
            <w:bottom w:w="0" w:type="dxa"/>
          </w:tblCellMar>
        </w:tblPrEx>
        <w:tc>
          <w:tcPr>
            <w:tcW w:w="4017" w:type="dxa"/>
          </w:tcPr>
          <w:p w:rsidR="00317BBB" w:rsidRDefault="00A727A1">
            <w:pPr>
              <w:spacing w:after="0"/>
            </w:pPr>
            <w:r>
              <w:rPr>
                <w:rFonts w:ascii="Lato"/>
              </w:rPr>
              <w:t>DA</w:t>
            </w:r>
          </w:p>
        </w:tc>
        <w:tc>
          <w:tcPr>
            <w:tcW w:w="5961" w:type="dxa"/>
          </w:tcPr>
          <w:p w:rsidR="00317BBB" w:rsidRDefault="00A727A1">
            <w:hyperlink r:id="rId18" w:docLocation="https://simbli.eboardsolutions.com/Policy/ViewPolicy.aspx?S=36031111&amp;revid=9guNl6sdUHRopv82a9kyEg==">
              <w:r>
                <w:rPr>
                  <w:rFonts w:ascii="Lato"/>
                  <w:color w:val="0563C1" w:themeColor="hyperlink"/>
                  <w:u w:val="single"/>
                </w:rPr>
                <w:t>FISCAL RESPONSIBILITY</w:t>
              </w:r>
            </w:hyperlink>
          </w:p>
        </w:tc>
      </w:tr>
    </w:tbl>
    <w:p w:rsidR="00000000" w:rsidRDefault="00A727A1"/>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0458C"/>
    <w:multiLevelType w:val="multilevel"/>
    <w:tmpl w:val="9F8C6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BBB"/>
    <w:rsid w:val="00317BBB"/>
    <w:rsid w:val="00A72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EFC14"/>
  <w15:docId w15:val="{1530966A-22B6-4BA0-98C0-B3A047463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spacing w:before="100" w:beforeAutospacing="1" w:after="100" w:afterAutospacing="1" w:line="240" w:lineRule="auto"/>
    </w:pPr>
    <w:rPr>
      <w:rFonts w:ascii="Times New Roman" w:hAnsi="Times New Roman" w:cs="Times New Roman"/>
      <w:sz w:val="24"/>
      <w:szCs w:val="24"/>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449511">
      <w:bodyDiv w:val="1"/>
      <w:marLeft w:val="0"/>
      <w:marRight w:val="0"/>
      <w:marTop w:val="0"/>
      <w:marBottom w:val="0"/>
      <w:divBdr>
        <w:top w:val="none" w:sz="0" w:space="0" w:color="auto"/>
        <w:left w:val="none" w:sz="0" w:space="0" w:color="auto"/>
        <w:bottom w:val="none" w:sz="0" w:space="0" w:color="auto"/>
        <w:right w:val="none" w:sz="0" w:space="0" w:color="auto"/>
      </w:divBdr>
      <w:divsChild>
        <w:div w:id="177502545">
          <w:marLeft w:val="0"/>
          <w:marRight w:val="0"/>
          <w:marTop w:val="0"/>
          <w:marBottom w:val="0"/>
          <w:divBdr>
            <w:top w:val="none" w:sz="0" w:space="0" w:color="auto"/>
            <w:left w:val="none" w:sz="0" w:space="0" w:color="auto"/>
            <w:bottom w:val="none" w:sz="0" w:space="0" w:color="auto"/>
            <w:right w:val="none" w:sz="0" w:space="0" w:color="auto"/>
          </w:divBdr>
          <w:divsChild>
            <w:div w:id="1375541720">
              <w:marLeft w:val="0"/>
              <w:marRight w:val="0"/>
              <w:marTop w:val="0"/>
              <w:marBottom w:val="0"/>
              <w:divBdr>
                <w:top w:val="none" w:sz="0" w:space="0" w:color="auto"/>
                <w:left w:val="none" w:sz="0" w:space="0" w:color="auto"/>
                <w:bottom w:val="none" w:sz="0" w:space="0" w:color="auto"/>
                <w:right w:val="none" w:sz="0" w:space="0" w:color="auto"/>
              </w:divBdr>
              <w:divsChild>
                <w:div w:id="163004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937610">
      <w:bodyDiv w:val="1"/>
      <w:marLeft w:val="0"/>
      <w:marRight w:val="0"/>
      <w:marTop w:val="0"/>
      <w:marBottom w:val="0"/>
      <w:divBdr>
        <w:top w:val="none" w:sz="0" w:space="0" w:color="auto"/>
        <w:left w:val="none" w:sz="0" w:space="0" w:color="auto"/>
        <w:bottom w:val="none" w:sz="0" w:space="0" w:color="auto"/>
        <w:right w:val="none" w:sz="0" w:space="0" w:color="auto"/>
      </w:divBdr>
    </w:div>
    <w:div w:id="1937248901">
      <w:bodyDiv w:val="1"/>
      <w:marLeft w:val="0"/>
      <w:marRight w:val="0"/>
      <w:marTop w:val="0"/>
      <w:marBottom w:val="0"/>
      <w:divBdr>
        <w:top w:val="none" w:sz="0" w:space="0" w:color="auto"/>
        <w:left w:val="none" w:sz="0" w:space="0" w:color="auto"/>
        <w:bottom w:val="none" w:sz="0" w:space="0" w:color="auto"/>
        <w:right w:val="none" w:sz="0" w:space="0" w:color="auto"/>
      </w:divBdr>
      <w:divsChild>
        <w:div w:id="2007858158">
          <w:marLeft w:val="0"/>
          <w:marRight w:val="0"/>
          <w:marTop w:val="15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visor.mo.gov/main/Home.aspx" TargetMode="External"/><Relationship Id="rId13" Type="http://schemas.openxmlformats.org/officeDocument/2006/relationships/hyperlink" Target="https://www.courts.mo.gov/" TargetMode="External"/><Relationship Id="rId18" Type="http://schemas.openxmlformats.org/officeDocument/2006/relationships/hyperlink" Target="https://simbli.eboardsolutions.com/Policy/ViewPolicy.aspx?S=36031111&amp;revid=9guNl6sdUHRopv82a9kyEg==" TargetMode="External"/><Relationship Id="rId3" Type="http://schemas.openxmlformats.org/officeDocument/2006/relationships/settings" Target="settings.xml"/><Relationship Id="rId7" Type="http://schemas.openxmlformats.org/officeDocument/2006/relationships/hyperlink" Target="https://revisor.mo.gov/main/Home.aspx" TargetMode="External"/><Relationship Id="rId12" Type="http://schemas.openxmlformats.org/officeDocument/2006/relationships/hyperlink" Target="https://www.courts.mo.gov/" TargetMode="External"/><Relationship Id="rId17" Type="http://schemas.openxmlformats.org/officeDocument/2006/relationships/hyperlink" Target="https://revisor.mo.gov/main/Home.aspx" TargetMode="External"/><Relationship Id="rId2" Type="http://schemas.openxmlformats.org/officeDocument/2006/relationships/styles" Target="styles.xml"/><Relationship Id="rId16" Type="http://schemas.openxmlformats.org/officeDocument/2006/relationships/hyperlink" Target="https://www.courts.mo.gov/"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revisor.mo.gov/main/Home.aspx" TargetMode="External"/><Relationship Id="rId11" Type="http://schemas.openxmlformats.org/officeDocument/2006/relationships/hyperlink" Target="https://www.courts.mo.gov/" TargetMode="External"/><Relationship Id="rId5" Type="http://schemas.openxmlformats.org/officeDocument/2006/relationships/hyperlink" Target="https://revisor.mo.gov/main/Home.aspx" TargetMode="External"/><Relationship Id="rId15" Type="http://schemas.openxmlformats.org/officeDocument/2006/relationships/hyperlink" Target="https://www.courts.mo.gov/" TargetMode="External"/><Relationship Id="rId10" Type="http://schemas.openxmlformats.org/officeDocument/2006/relationships/hyperlink" Target="https://www.courts.mo.gov/"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evisor.mo.gov/main/Home.aspx" TargetMode="External"/><Relationship Id="rId14" Type="http://schemas.openxmlformats.org/officeDocument/2006/relationships/hyperlink" Target="https://www.courts.mo.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901</Words>
  <Characters>5136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2</cp:revision>
  <dcterms:created xsi:type="dcterms:W3CDTF">2024-12-31T22:54:00Z</dcterms:created>
  <dcterms:modified xsi:type="dcterms:W3CDTF">2024-12-31T22:54:00Z</dcterms:modified>
</cp:coreProperties>
</file>